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000000" w:themeColor="text1"/>
        </w:rPr>
      </w:pPr>
      <w:r>
        <w:rPr>
          <w:rFonts w:hint="eastAsia"/>
          <w:color w:val="000000" w:themeColor="text1"/>
        </w:rPr>
        <w:t>（別記）</w:t>
      </w:r>
    </w:p>
    <w:p>
      <w:pPr>
        <w:pStyle w:val="0"/>
        <w:jc w:val="center"/>
        <w:rPr>
          <w:rFonts w:hint="default" w:asciiTheme="majorEastAsia" w:hAnsiTheme="majorEastAsia" w:eastAsiaTheme="majorEastAsia"/>
          <w:b w:val="1"/>
          <w:color w:val="000000" w:themeColor="text1"/>
          <w:sz w:val="28"/>
        </w:rPr>
      </w:pPr>
      <w:r>
        <w:rPr>
          <w:rFonts w:hint="eastAsia" w:asciiTheme="majorEastAsia" w:hAnsiTheme="majorEastAsia" w:eastAsiaTheme="majorEastAsia"/>
          <w:b w:val="1"/>
          <w:sz w:val="28"/>
        </w:rPr>
        <w:t>令和４</w:t>
      </w:r>
      <w:r>
        <w:rPr>
          <w:rFonts w:hint="default" w:asciiTheme="majorEastAsia" w:hAnsiTheme="majorEastAsia" w:eastAsiaTheme="majorEastAsia"/>
          <w:b w:val="1"/>
          <w:sz w:val="28"/>
        </w:rPr>
        <w:t>年度</w:t>
      </w:r>
      <w:r>
        <w:rPr>
          <w:rFonts w:hint="eastAsia" w:asciiTheme="majorEastAsia" w:hAnsiTheme="majorEastAsia" w:eastAsiaTheme="majorEastAsia"/>
          <w:b w:val="1"/>
          <w:color w:val="000000" w:themeColor="text1"/>
          <w:sz w:val="28"/>
        </w:rPr>
        <w:t>奈半利町地域農業再生協議会水田</w:t>
      </w:r>
      <w:r>
        <w:rPr>
          <w:rFonts w:hint="eastAsia" w:asciiTheme="majorEastAsia" w:hAnsiTheme="majorEastAsia" w:eastAsiaTheme="majorEastAsia"/>
          <w:b w:val="1"/>
          <w:sz w:val="28"/>
        </w:rPr>
        <w:t>収益力強化</w:t>
      </w:r>
      <w:r>
        <w:rPr>
          <w:rFonts w:hint="eastAsia" w:asciiTheme="majorEastAsia" w:hAnsiTheme="majorEastAsia" w:eastAsiaTheme="majorEastAsia"/>
          <w:b w:val="1"/>
          <w:color w:val="000000" w:themeColor="text1"/>
          <w:sz w:val="28"/>
        </w:rPr>
        <w:t>ビジョン</w:t>
      </w: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color w:val="000000" w:themeColor="text1"/>
          <w:sz w:val="28"/>
          <w:bdr w:val="single" w:color="000000" w:sz="4" w:space="0"/>
        </w:rPr>
        <w:t>１　地域の作物作付の現状、地域が抱える課題　</w:t>
      </w: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当地域は、高知市内から東へ約</w:t>
      </w:r>
      <w:r>
        <w:rPr>
          <w:rFonts w:hint="eastAsia" w:asciiTheme="majorEastAsia" w:hAnsiTheme="majorEastAsia" w:eastAsiaTheme="majorEastAsia"/>
          <w:color w:val="000000" w:themeColor="text1"/>
          <w:sz w:val="24"/>
        </w:rPr>
        <w:t>60</w:t>
      </w:r>
      <w:r>
        <w:rPr>
          <w:rFonts w:hint="eastAsia" w:asciiTheme="majorEastAsia" w:hAnsiTheme="majorEastAsia" w:eastAsiaTheme="majorEastAsia"/>
          <w:color w:val="000000" w:themeColor="text1"/>
          <w:sz w:val="24"/>
        </w:rPr>
        <w:t>㎞離れた県東部に位置し、南は太平洋、西は奈半利川、東と北は野根山に接しており、地域全体の約</w:t>
      </w:r>
      <w:r>
        <w:rPr>
          <w:rFonts w:hint="eastAsia" w:asciiTheme="majorEastAsia" w:hAnsiTheme="majorEastAsia" w:eastAsiaTheme="majorEastAsia"/>
          <w:color w:val="000000" w:themeColor="text1"/>
          <w:sz w:val="24"/>
        </w:rPr>
        <w:t>80%</w:t>
      </w:r>
      <w:r>
        <w:rPr>
          <w:rFonts w:hint="eastAsia" w:asciiTheme="majorEastAsia" w:hAnsiTheme="majorEastAsia" w:eastAsiaTheme="majorEastAsia"/>
          <w:color w:val="000000" w:themeColor="text1"/>
          <w:sz w:val="24"/>
        </w:rPr>
        <w:t>を山間地が占めているため平坦地は少ないが、温暖な気候にも恵まれ、年間を通じて農作物の生育には好適な地域である。</w:t>
      </w: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農地は奈半利川下流域に開けた平坦地域と海岸段丘及び山腹に広がる中山間地域に大別され、地域の気象や土地条件を活かして水稲、施設野菜、露地野菜、畜産等との複合経営が行われているが、主食用米の作付けが占める耕作面積の割合が大きくなっている。</w:t>
      </w: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こうした中、過疎化や農家の高齢化等が進んでおり、不作付地が増加傾向であることから、集落営農組織等の推進や農地の維持に向けた担い手の育成・確保に取り組み、農業経営の安定化を図ることが必要になっている。</w:t>
      </w: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color w:val="000000" w:themeColor="text1"/>
          <w:sz w:val="24"/>
        </w:rPr>
      </w:pPr>
    </w:p>
    <w:tbl>
      <w:tblPr>
        <w:tblStyle w:val="11"/>
        <w:tblW w:w="9350"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350"/>
      </w:tblGrid>
      <w:tr>
        <w:trPr>
          <w:trHeight w:val="633" w:hRule="atLeast"/>
        </w:trPr>
        <w:tc>
          <w:tcPr>
            <w:tcW w:w="9350" w:type="dxa"/>
            <w:vAlign w:val="top"/>
          </w:tcPr>
          <w:p>
            <w:pPr>
              <w:pStyle w:val="0"/>
              <w:spacing w:line="300" w:lineRule="exact"/>
              <w:ind w:left="208" w:hanging="208" w:hangingChars="74"/>
              <w:jc w:val="left"/>
              <w:rPr>
                <w:rFonts w:hint="default" w:asciiTheme="majorEastAsia" w:hAnsiTheme="majorEastAsia" w:eastAsiaTheme="majorEastAsia"/>
                <w:b w:val="1"/>
                <w:color w:val="000000" w:themeColor="text1"/>
                <w:sz w:val="28"/>
              </w:rPr>
            </w:pPr>
            <w:r>
              <w:rPr>
                <w:rFonts w:hint="eastAsia" w:asciiTheme="majorEastAsia" w:hAnsiTheme="majorEastAsia" w:eastAsiaTheme="majorEastAsia"/>
                <w:b w:val="1"/>
                <w:color w:val="000000" w:themeColor="text1"/>
                <w:sz w:val="28"/>
              </w:rPr>
              <w:t>２　高収益作物の導入や転作作物等の付加価値の向上等による収益力</w:t>
            </w:r>
          </w:p>
          <w:p>
            <w:pPr>
              <w:pStyle w:val="0"/>
              <w:spacing w:line="300" w:lineRule="exact"/>
              <w:ind w:left="208" w:firstLine="141" w:firstLineChars="50"/>
              <w:jc w:val="left"/>
              <w:rPr>
                <w:rFonts w:hint="default" w:asciiTheme="majorEastAsia" w:hAnsiTheme="majorEastAsia" w:eastAsiaTheme="majorEastAsia"/>
                <w:b w:val="1"/>
                <w:color w:val="FF0000"/>
                <w:sz w:val="24"/>
              </w:rPr>
            </w:pPr>
            <w:r>
              <w:rPr>
                <w:rFonts w:hint="eastAsia" w:asciiTheme="majorEastAsia" w:hAnsiTheme="majorEastAsia" w:eastAsiaTheme="majorEastAsia"/>
                <w:b w:val="1"/>
                <w:color w:val="000000" w:themeColor="text1"/>
                <w:sz w:val="28"/>
              </w:rPr>
              <w:t>強化に向けた産地としての取組方針・目標</w:t>
            </w:r>
          </w:p>
        </w:tc>
      </w:tr>
    </w:tbl>
    <w:p>
      <w:pPr>
        <w:pStyle w:val="0"/>
        <w:ind w:firstLine="240" w:firstLineChars="10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当地域は温暖な気候に恵まれており、地域の気象や土地条件を活かして、高収益作物を栽培している。作付面積の拡大に向けて、生産者が安定して農業経営が行えるようにＪＡ等と相談会等を開催し、支援を行う。地域振興作物の作付面積の維持及び拡大に向けて、担い手の育成や確保に取り組んでいくために人・農地プランの活用、補助金の活用等を周知する。</w:t>
      </w: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b w:val="1"/>
          <w:color w:val="FF0000"/>
          <w:sz w:val="28"/>
          <w:bdr w:val="single" w:color="000000" w:sz="4" w:space="0"/>
        </w:rPr>
      </w:pPr>
      <w:r>
        <w:rPr>
          <w:rFonts w:hint="eastAsia" w:asciiTheme="majorEastAsia" w:hAnsiTheme="majorEastAsia" w:eastAsiaTheme="majorEastAsia"/>
          <w:b w:val="1"/>
          <w:color w:val="000000" w:themeColor="text1"/>
          <w:sz w:val="28"/>
          <w:bdr w:val="single" w:color="000000" w:sz="4" w:space="0"/>
        </w:rPr>
        <w:t>３　畑地化を含めた水田の有効利用に向けた産地としての取組方針・目標</w:t>
      </w:r>
      <w:r>
        <w:rPr>
          <w:rFonts w:hint="eastAsia" w:asciiTheme="majorEastAsia" w:hAnsiTheme="majorEastAsia" w:eastAsiaTheme="majorEastAsia"/>
          <w:b w:val="1"/>
          <w:color w:val="FF0000"/>
          <w:sz w:val="28"/>
          <w:bdr w:val="single" w:color="000000" w:sz="4" w:space="0"/>
        </w:rPr>
        <w:t>　</w:t>
      </w:r>
    </w:p>
    <w:p>
      <w:pPr>
        <w:pStyle w:val="0"/>
        <w:ind w:firstLine="240" w:firstLineChars="10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当地域は、早期米を中心に主食用米を生産している。自然環境の恵みを生かした米づくりや、昔ながらの手法で主食用米の栽培のために水田を活用している。しかし、主食用米の需要が減少しているため、転作も推奨していく。水稲を中心とした作付け体系は維持しつつ、地域ぐるみで取り組むブロックローテーションにより、高収益作物や転換作物等を作付け体系に組み込み、水田の有効利用に努める。また、農地パトロールを実施している農業委員会と連携を取りながら、利用状況を把握する。</w:t>
      </w:r>
    </w:p>
    <w:p>
      <w:pPr>
        <w:pStyle w:val="0"/>
        <w:jc w:val="left"/>
        <w:rPr>
          <w:rFonts w:hint="default" w:asciiTheme="majorEastAsia" w:hAnsiTheme="majorEastAsia" w:eastAsiaTheme="majorEastAsia"/>
          <w:b w:val="1"/>
          <w:color w:val="FF0000"/>
          <w:sz w:val="28"/>
          <w:bdr w:val="single" w:color="000000" w:sz="4" w:space="0"/>
        </w:rPr>
      </w:pPr>
    </w:p>
    <w:p>
      <w:pPr>
        <w:pStyle w:val="0"/>
        <w:jc w:val="left"/>
        <w:rPr>
          <w:rFonts w:hint="default" w:asciiTheme="majorEastAsia" w:hAnsiTheme="majorEastAsia" w:eastAsiaTheme="majorEastAsia"/>
          <w:b w:val="1"/>
          <w:color w:val="FF0000"/>
          <w:sz w:val="28"/>
          <w:bdr w:val="single" w:color="000000" w:sz="4" w:space="0"/>
        </w:rPr>
      </w:pPr>
    </w:p>
    <w:p>
      <w:pPr>
        <w:pStyle w:val="0"/>
        <w:jc w:val="left"/>
        <w:rPr>
          <w:rFonts w:hint="default" w:asciiTheme="majorEastAsia" w:hAnsiTheme="majorEastAsia" w:eastAsiaTheme="majorEastAsia"/>
          <w:b w:val="1"/>
          <w:color w:val="FF0000"/>
          <w:sz w:val="28"/>
          <w:bdr w:val="single" w:color="000000" w:sz="4" w:space="0"/>
        </w:rPr>
      </w:pPr>
    </w:p>
    <w:p>
      <w:pPr>
        <w:pStyle w:val="0"/>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sz w:val="28"/>
          <w:bdr w:val="single" w:color="000000" w:sz="4" w:space="0"/>
        </w:rPr>
        <w:t>４　作物ごとの</w:t>
      </w:r>
      <w:r>
        <w:rPr>
          <w:rFonts w:hint="eastAsia" w:asciiTheme="majorEastAsia" w:hAnsiTheme="majorEastAsia" w:eastAsiaTheme="majorEastAsia"/>
          <w:b w:val="1"/>
          <w:color w:val="000000" w:themeColor="text1"/>
          <w:sz w:val="28"/>
          <w:bdr w:val="single" w:color="000000" w:sz="4" w:space="0"/>
        </w:rPr>
        <w:t>取組方針</w:t>
      </w:r>
      <w:r>
        <w:rPr>
          <w:rFonts w:hint="eastAsia" w:asciiTheme="majorEastAsia" w:hAnsiTheme="majorEastAsia" w:eastAsiaTheme="majorEastAsia"/>
          <w:b w:val="1"/>
          <w:sz w:val="28"/>
          <w:bdr w:val="single" w:color="000000" w:sz="4" w:space="0"/>
        </w:rPr>
        <w:t>等　</w:t>
      </w: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（１）主食用米</w:t>
      </w: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　</w:t>
      </w:r>
      <w:r>
        <w:rPr>
          <w:rFonts w:hint="default" w:ascii="ＭＳ ゴシック" w:hAnsi="ＭＳ ゴシック" w:eastAsia="ＭＳ ゴシック"/>
          <w:sz w:val="24"/>
        </w:rPr>
        <w:t>当地域では、早期米を中心に生産されており「売れる米づくり」を維持するためにも、安定した品質・</w:t>
      </w:r>
      <w:r>
        <w:rPr>
          <w:rFonts w:hint="eastAsia" w:ascii="ＭＳ ゴシック" w:hAnsi="ＭＳ ゴシック" w:eastAsia="ＭＳ ゴシック"/>
          <w:sz w:val="24"/>
        </w:rPr>
        <w:t>収量</w:t>
      </w:r>
      <w:r>
        <w:rPr>
          <w:rFonts w:hint="default" w:ascii="ＭＳ ゴシック" w:hAnsi="ＭＳ ゴシック" w:eastAsia="ＭＳ ゴシック"/>
          <w:sz w:val="24"/>
        </w:rPr>
        <w:t>の確保を図り、販路の維持・拡充に取り組んで行く。</w:t>
      </w:r>
      <w:r>
        <w:rPr>
          <w:rFonts w:hint="eastAsia" w:ascii="ＭＳ ゴシック" w:hAnsi="ＭＳ ゴシック" w:eastAsia="ＭＳ ゴシック"/>
          <w:sz w:val="24"/>
        </w:rPr>
        <w:t>また、</w:t>
      </w:r>
      <w:r>
        <w:rPr>
          <w:rFonts w:hint="default" w:ascii="ＭＳ ゴシック" w:hAnsi="ＭＳ ゴシック" w:eastAsia="ＭＳ ゴシック"/>
          <w:sz w:val="24"/>
        </w:rPr>
        <w:t>水質や気温等の自然環境の恵みを活かした米づくりや、</w:t>
      </w:r>
      <w:r>
        <w:rPr>
          <w:rFonts w:hint="eastAsia" w:ascii="ＭＳ ゴシック" w:hAnsi="ＭＳ ゴシック" w:eastAsia="ＭＳ ゴシック"/>
          <w:sz w:val="24"/>
        </w:rPr>
        <w:t>収穫時での天日干し乾燥による手間暇かけた昔ながらの手法での「こだわりのある米づくり」により、ブランド化や産地化を目指しながら、生産活動の維持を図る。</w:t>
      </w:r>
    </w:p>
    <w:p>
      <w:pPr>
        <w:pStyle w:val="0"/>
        <w:jc w:val="left"/>
        <w:rPr>
          <w:rFonts w:hint="default" w:asciiTheme="majorEastAsia" w:hAnsiTheme="majorEastAsia" w:eastAsiaTheme="majorEastAsia"/>
          <w:sz w:val="24"/>
        </w:rPr>
      </w:pP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（２）非主食用米</w:t>
      </w:r>
    </w:p>
    <w:p>
      <w:pPr>
        <w:pStyle w:val="0"/>
        <w:jc w:val="left"/>
        <w:rPr>
          <w:rFonts w:hint="default" w:asciiTheme="majorEastAsia" w:hAnsiTheme="majorEastAsia" w:eastAsiaTheme="majorEastAsia"/>
          <w:sz w:val="24"/>
        </w:rPr>
      </w:pP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　　ア　飼料用米</w:t>
      </w:r>
    </w:p>
    <w:p>
      <w:pPr>
        <w:pStyle w:val="0"/>
        <w:ind w:left="480" w:hanging="480" w:hangingChars="200"/>
        <w:jc w:val="left"/>
        <w:rPr>
          <w:rFonts w:hint="default" w:asciiTheme="majorEastAsia" w:hAnsiTheme="majorEastAsia" w:eastAsiaTheme="majorEastAsia"/>
          <w:sz w:val="24"/>
        </w:rPr>
      </w:pPr>
      <w:r>
        <w:rPr>
          <w:rFonts w:hint="eastAsia" w:asciiTheme="majorEastAsia" w:hAnsiTheme="majorEastAsia" w:eastAsiaTheme="majorEastAsia"/>
          <w:sz w:val="24"/>
        </w:rPr>
        <w:t>　　　</w:t>
      </w:r>
      <w:r>
        <w:rPr>
          <w:rFonts w:hint="default" w:ascii="ＭＳ ゴシック" w:hAnsi="ＭＳ ゴシック" w:eastAsia="ＭＳ ゴシック"/>
          <w:sz w:val="24"/>
        </w:rPr>
        <w:t>作付面積はわずかであるが、主食用米の需要減が見込まれる中、主食用米からの転換品目の一つとして、作付</w:t>
      </w:r>
      <w:r>
        <w:rPr>
          <w:rFonts w:hint="eastAsia" w:ascii="ＭＳ ゴシック" w:hAnsi="ＭＳ ゴシック" w:eastAsia="ＭＳ ゴシック"/>
          <w:sz w:val="24"/>
        </w:rPr>
        <w:t>け</w:t>
      </w:r>
      <w:r>
        <w:rPr>
          <w:rFonts w:hint="default" w:ascii="ＭＳ ゴシック" w:hAnsi="ＭＳ ゴシック" w:eastAsia="ＭＳ ゴシック"/>
          <w:sz w:val="24"/>
        </w:rPr>
        <w:t>を推進していく。</w:t>
      </w:r>
    </w:p>
    <w:p>
      <w:pPr>
        <w:pStyle w:val="0"/>
        <w:jc w:val="left"/>
        <w:rPr>
          <w:rFonts w:hint="default" w:asciiTheme="majorEastAsia" w:hAnsiTheme="majorEastAsia" w:eastAsiaTheme="majorEastAsia"/>
          <w:sz w:val="24"/>
        </w:rPr>
      </w:pP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　　イ　</w:t>
      </w:r>
      <w:r>
        <w:rPr>
          <w:rFonts w:hint="eastAsia" w:asciiTheme="majorEastAsia" w:hAnsiTheme="majorEastAsia" w:eastAsiaTheme="majorEastAsia"/>
          <w:sz w:val="24"/>
        </w:rPr>
        <w:t>WCS</w:t>
      </w:r>
      <w:r>
        <w:rPr>
          <w:rFonts w:hint="eastAsia" w:asciiTheme="majorEastAsia" w:hAnsiTheme="majorEastAsia" w:eastAsiaTheme="majorEastAsia"/>
          <w:sz w:val="24"/>
        </w:rPr>
        <w:t>用稲</w:t>
      </w:r>
    </w:p>
    <w:p>
      <w:pPr>
        <w:pStyle w:val="0"/>
        <w:ind w:left="420" w:leftChars="200" w:firstLine="240" w:firstLineChars="100"/>
        <w:jc w:val="left"/>
        <w:rPr>
          <w:rFonts w:hint="default" w:ascii="ＭＳ ゴシック" w:hAnsi="ＭＳ ゴシック" w:eastAsia="ＭＳ ゴシック"/>
          <w:sz w:val="24"/>
        </w:rPr>
      </w:pPr>
      <w:r>
        <w:rPr>
          <w:rFonts w:hint="eastAsia" w:ascii="ＭＳ ゴシック" w:hAnsi="ＭＳ ゴシック" w:eastAsia="ＭＳ ゴシック"/>
          <w:sz w:val="24"/>
        </w:rPr>
        <w:t>地域の畜産農家から需要があるが供給が足りておらず、今後の地域における飼料自給率向上のため、取組を支援していく。</w:t>
      </w:r>
    </w:p>
    <w:p>
      <w:pPr>
        <w:pStyle w:val="0"/>
        <w:jc w:val="left"/>
        <w:rPr>
          <w:rFonts w:hint="default" w:asciiTheme="majorEastAsia" w:hAnsiTheme="majorEastAsia" w:eastAsiaTheme="majorEastAsia"/>
          <w:sz w:val="24"/>
        </w:rPr>
      </w:pPr>
    </w:p>
    <w:p>
      <w:pPr>
        <w:pStyle w:val="0"/>
        <w:jc w:val="left"/>
        <w:rPr>
          <w:rFonts w:hint="default" w:asciiTheme="majorEastAsia" w:hAnsiTheme="majorEastAsia" w:eastAsiaTheme="majorEastAsia"/>
          <w:sz w:val="24"/>
        </w:rPr>
      </w:pP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（３）麦、大豆、飼料作物</w:t>
      </w:r>
    </w:p>
    <w:p>
      <w:pPr>
        <w:pStyle w:val="0"/>
        <w:jc w:val="left"/>
        <w:rPr>
          <w:rFonts w:hint="default" w:asciiTheme="majorEastAsia" w:hAnsiTheme="majorEastAsia" w:eastAsiaTheme="majorEastAsia"/>
          <w:sz w:val="24"/>
        </w:rPr>
      </w:pPr>
      <w:r>
        <w:rPr>
          <w:rFonts w:hint="eastAsia" w:asciiTheme="majorEastAsia" w:hAnsiTheme="majorEastAsia" w:eastAsiaTheme="majorEastAsia"/>
          <w:sz w:val="24"/>
        </w:rPr>
        <w:t>　</w:t>
      </w:r>
      <w:r>
        <w:rPr>
          <w:rFonts w:hint="eastAsia" w:ascii="ＭＳ ゴシック" w:hAnsi="ＭＳ ゴシック" w:eastAsia="ＭＳ ゴシック"/>
          <w:sz w:val="24"/>
        </w:rPr>
        <w:t>飼料作物について、畜産農家のコスト低減及び生産性の向上を促進するが、農地の確保の状況や所得向上の実績から、水稲との二毛作に取り組むことで耕種農家の更なる収益性の向上につなげる。</w:t>
      </w: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（６）地力増進作物</w:t>
      </w:r>
    </w:p>
    <w:p>
      <w:pPr>
        <w:pStyle w:val="0"/>
        <w:jc w:val="left"/>
        <w:rPr>
          <w:rFonts w:hint="default" w:asciiTheme="majorEastAsia" w:hAnsiTheme="majorEastAsia" w:eastAsiaTheme="majorEastAsia"/>
          <w:color w:val="FF0000"/>
          <w:sz w:val="24"/>
        </w:rPr>
      </w:pPr>
      <w:r>
        <w:rPr>
          <w:rFonts w:hint="eastAsia" w:asciiTheme="majorEastAsia" w:hAnsiTheme="majorEastAsia" w:eastAsiaTheme="majorEastAsia"/>
          <w:color w:val="000000" w:themeColor="text1"/>
          <w:sz w:val="24"/>
        </w:rPr>
        <w:t>　耕作放棄地等の発生を防止し、保全向上を図るため、地力増進作物（地力増進作物の種類は県ビジョンに準じる）の作付けを推進する。また、計画的なローテーションの実施により連作障害の回避や生産向上ができる土づくりを推進する。</w:t>
      </w: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（７）高収益作物</w:t>
      </w:r>
    </w:p>
    <w:p>
      <w:pPr>
        <w:pStyle w:val="0"/>
        <w:widowControl w:val="1"/>
        <w:jc w:val="left"/>
        <w:rPr>
          <w:rFonts w:hint="default" w:asciiTheme="majorEastAsia" w:hAnsiTheme="majorEastAsia" w:eastAsiaTheme="majorEastAsia"/>
          <w:sz w:val="20"/>
        </w:rPr>
      </w:pPr>
      <w:r>
        <w:rPr>
          <w:rFonts w:hint="eastAsia" w:asciiTheme="majorEastAsia" w:hAnsiTheme="majorEastAsia" w:eastAsiaTheme="majorEastAsia"/>
          <w:sz w:val="20"/>
        </w:rPr>
        <w:t>　</w:t>
      </w:r>
      <w:r>
        <w:rPr>
          <w:rFonts w:hint="eastAsia" w:asciiTheme="majorEastAsia" w:hAnsiTheme="majorEastAsia" w:eastAsiaTheme="majorEastAsia"/>
          <w:sz w:val="24"/>
        </w:rPr>
        <w:t>地域の土地条件等に応じた適地適作での生産活動を促進することにより、不作付地の抑制や農地の多面的機能の維持にも繋がるため、作付面積の維持を図る。また、施設・露地栽培でのナス・ピーマン・スイカ・トマト・ミョウガ・ネギ・ニラ・イチゴ・オクラ・ジャガイモ・サツマイモ、シシトウおよびイチジクを地域振興作物として位置付け、支援を行っていく。</w:t>
      </w:r>
    </w:p>
    <w:p>
      <w:pPr>
        <w:pStyle w:val="0"/>
        <w:widowControl w:val="1"/>
        <w:jc w:val="left"/>
        <w:rPr>
          <w:rFonts w:hint="default" w:asciiTheme="majorEastAsia" w:hAnsiTheme="majorEastAsia" w:eastAsiaTheme="majorEastAsia"/>
          <w:sz w:val="20"/>
        </w:rPr>
      </w:pPr>
    </w:p>
    <w:p>
      <w:pPr>
        <w:pStyle w:val="0"/>
        <w:ind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ア　ナス・ピーマン・スイカ・トマト・ミョウガ・ネギ・ニラ・イチゴ</w:t>
      </w:r>
    </w:p>
    <w:p>
      <w:pPr>
        <w:pStyle w:val="0"/>
        <w:ind w:left="210" w:leftChars="100"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地域の代表的な生産物であり、生産者は安定した品質・収量の確保に向けて取り組んでいるが、原油価格の高騰や新たな栽培管理技術を導入する際の設備投資、また、病害虫・鳥獣害による被害対策等を含めた経費や労力の負担も大きくなっている。今後も地域振興作物として、作付けを推進し生産者の安定的な農業経営に向けた支援を行うと共に、作付面積の維持拡大を目指し、地域農業の振興に繋げていく。</w:t>
      </w:r>
    </w:p>
    <w:p>
      <w:pPr>
        <w:pStyle w:val="0"/>
        <w:widowControl w:val="1"/>
        <w:jc w:val="left"/>
        <w:rPr>
          <w:rFonts w:hint="default" w:asciiTheme="majorEastAsia" w:hAnsiTheme="majorEastAsia" w:eastAsiaTheme="majorEastAsia"/>
          <w:sz w:val="20"/>
        </w:rPr>
      </w:pPr>
    </w:p>
    <w:p>
      <w:pPr>
        <w:pStyle w:val="0"/>
        <w:ind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イ　イチジク</w:t>
      </w:r>
    </w:p>
    <w:p>
      <w:pPr>
        <w:pStyle w:val="0"/>
        <w:ind w:left="210" w:leftChars="100"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地域特産品として推進しており、地元加工グループによるジャム等の加工品が駅の直販所等で好評を得ているが、取組農家数が伸び悩んでいる状況となっている。農家の生産意欲の向上や安定した収量の確保に向けた支援を継続して行い、栽培面積の維持拡大に努めるとともに、特産品としての一層の定着化を図って行く。</w:t>
      </w:r>
    </w:p>
    <w:p>
      <w:pPr>
        <w:pStyle w:val="0"/>
        <w:widowControl w:val="1"/>
        <w:jc w:val="left"/>
        <w:rPr>
          <w:rFonts w:hint="default" w:asciiTheme="majorEastAsia" w:hAnsiTheme="majorEastAsia" w:eastAsiaTheme="majorEastAsia"/>
          <w:sz w:val="20"/>
        </w:rPr>
      </w:pPr>
    </w:p>
    <w:p>
      <w:pPr>
        <w:pStyle w:val="0"/>
        <w:ind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ウ　オクラ・イモ類及びシシトウ</w:t>
      </w:r>
    </w:p>
    <w:p>
      <w:pPr>
        <w:pStyle w:val="0"/>
        <w:ind w:left="210" w:leftChars="100" w:firstLine="240" w:firstLineChars="100"/>
        <w:jc w:val="left"/>
        <w:rPr>
          <w:rFonts w:hint="default" w:asciiTheme="majorEastAsia" w:hAnsiTheme="majorEastAsia" w:eastAsiaTheme="majorEastAsia"/>
          <w:sz w:val="24"/>
        </w:rPr>
      </w:pPr>
      <w:r>
        <w:rPr>
          <w:rFonts w:hint="eastAsia" w:asciiTheme="majorEastAsia" w:hAnsiTheme="majorEastAsia" w:eastAsiaTheme="majorEastAsia"/>
          <w:sz w:val="24"/>
        </w:rPr>
        <w:t>地域での露地栽培の代表的な作物であるオクラ・イモ類及びシシトウへの支援を行うことにより、農家の安定的な営農又は農業所得の底上げを行う。</w:t>
      </w:r>
    </w:p>
    <w:p>
      <w:pPr>
        <w:pStyle w:val="0"/>
        <w:widowControl w:val="1"/>
        <w:jc w:val="left"/>
        <w:rPr>
          <w:rFonts w:hint="default" w:asciiTheme="majorEastAsia" w:hAnsiTheme="majorEastAsia" w:eastAsiaTheme="majorEastAsia"/>
          <w:color w:val="000000" w:themeColor="text1"/>
          <w:sz w:val="20"/>
        </w:rPr>
      </w:pPr>
    </w:p>
    <w:p>
      <w:pPr>
        <w:pStyle w:val="0"/>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color w:val="000000" w:themeColor="text1"/>
          <w:sz w:val="28"/>
          <w:bdr w:val="single" w:color="000000" w:sz="4" w:space="0"/>
        </w:rPr>
        <w:t>５　作物ごとの作付予定面積等</w:t>
      </w:r>
    </w:p>
    <w:tbl>
      <w:tblPr>
        <w:tblStyle w:val="11"/>
        <w:tblW w:w="961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531"/>
        <w:gridCol w:w="2125"/>
        <w:gridCol w:w="2551"/>
        <w:gridCol w:w="2408"/>
      </w:tblGrid>
      <w:tr>
        <w:trPr>
          <w:trHeight w:val="540"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作物</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前年度作付面積</w:t>
            </w:r>
          </w:p>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w:t>
            </w:r>
            <w:r>
              <w:rPr>
                <w:rFonts w:hint="eastAsia" w:asciiTheme="majorEastAsia" w:hAnsiTheme="majorEastAsia" w:eastAsiaTheme="majorEastAsia"/>
                <w:color w:val="000000" w:themeColor="text1"/>
                <w:sz w:val="18"/>
              </w:rPr>
              <w:t>ha</w:t>
            </w:r>
            <w:r>
              <w:rPr>
                <w:rFonts w:hint="eastAsia" w:asciiTheme="majorEastAsia" w:hAnsiTheme="majorEastAsia" w:eastAsiaTheme="majorEastAsia"/>
                <w:color w:val="000000" w:themeColor="text1"/>
                <w:sz w:val="18"/>
              </w:rPr>
              <w:t>）</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当年度の作付予定面積</w:t>
            </w:r>
          </w:p>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w:t>
            </w:r>
            <w:r>
              <w:rPr>
                <w:rFonts w:hint="eastAsia" w:asciiTheme="majorEastAsia" w:hAnsiTheme="majorEastAsia" w:eastAsiaTheme="majorEastAsia"/>
                <w:color w:val="000000" w:themeColor="text1"/>
                <w:sz w:val="18"/>
              </w:rPr>
              <w:t>ha</w:t>
            </w:r>
            <w:r>
              <w:rPr>
                <w:rFonts w:hint="eastAsia" w:asciiTheme="majorEastAsia" w:hAnsiTheme="majorEastAsia" w:eastAsiaTheme="majorEastAsia"/>
                <w:color w:val="000000" w:themeColor="text1"/>
                <w:sz w:val="18"/>
              </w:rPr>
              <w:t>）</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令和５年度の作付目標面積</w:t>
            </w:r>
          </w:p>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w:t>
            </w:r>
            <w:r>
              <w:rPr>
                <w:rFonts w:hint="eastAsia" w:asciiTheme="majorEastAsia" w:hAnsiTheme="majorEastAsia" w:eastAsiaTheme="majorEastAsia"/>
                <w:color w:val="000000" w:themeColor="text1"/>
                <w:sz w:val="18"/>
              </w:rPr>
              <w:t>ha</w:t>
            </w:r>
            <w:r>
              <w:rPr>
                <w:rFonts w:hint="eastAsia" w:asciiTheme="majorEastAsia" w:hAnsiTheme="majorEastAsia" w:eastAsiaTheme="majorEastAsia"/>
                <w:color w:val="000000" w:themeColor="text1"/>
                <w:sz w:val="18"/>
              </w:rPr>
              <w:t>）</w:t>
            </w:r>
          </w:p>
        </w:tc>
      </w:tr>
      <w:tr>
        <w:trPr>
          <w:trHeight w:val="326"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主食用米</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74.0</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78.0</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78.0</w:t>
            </w:r>
          </w:p>
        </w:tc>
      </w:tr>
      <w:tr>
        <w:trPr>
          <w:trHeight w:val="345"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飼料用米</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0.4</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0.4</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0.4</w:t>
            </w:r>
          </w:p>
        </w:tc>
      </w:tr>
      <w:tr>
        <w:trPr>
          <w:trHeight w:val="226"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WCS</w:t>
            </w:r>
            <w:r>
              <w:rPr>
                <w:rFonts w:hint="eastAsia" w:asciiTheme="majorEastAsia" w:hAnsiTheme="majorEastAsia" w:eastAsiaTheme="majorEastAsia"/>
                <w:color w:val="000000" w:themeColor="text1"/>
                <w:sz w:val="18"/>
              </w:rPr>
              <w:t>米</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4.2</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4.5</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4.5</w:t>
            </w:r>
          </w:p>
        </w:tc>
      </w:tr>
      <w:tr>
        <w:trPr>
          <w:trHeight w:val="274"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飼料作物</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2.5</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3.0</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3.0</w:t>
            </w:r>
          </w:p>
        </w:tc>
      </w:tr>
      <w:tr>
        <w:trPr>
          <w:trHeight w:val="210"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地力増進作物</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tc>
      </w:tr>
      <w:tr>
        <w:trPr>
          <w:trHeight w:val="210"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jc w:val="lef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高収益作物</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11.0</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11.6</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11.6</w:t>
            </w:r>
          </w:p>
        </w:tc>
      </w:tr>
      <w:tr>
        <w:trPr>
          <w:trHeight w:val="639"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ind w:left="90" w:hanging="90" w:hangingChars="50"/>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・ナス、ピーマン、トマト、ミョウガ、ネギ、ニラ、イチゴ、スイカ</w:t>
            </w:r>
          </w:p>
          <w:p>
            <w:pPr>
              <w:pStyle w:val="0"/>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・イチジク</w:t>
            </w:r>
          </w:p>
          <w:p>
            <w:pPr>
              <w:pStyle w:val="0"/>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・オクラ、シシトウ、イモ類（ジャガイモ、サツマイモ）</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6.7</w:t>
            </w: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4.3</w:t>
            </w:r>
          </w:p>
          <w:p>
            <w:pPr>
              <w:pStyle w:val="0"/>
              <w:ind w:right="180"/>
              <w:jc w:val="right"/>
              <w:rPr>
                <w:rFonts w:hint="default" w:asciiTheme="majorEastAsia" w:hAnsiTheme="majorEastAsia" w:eastAsiaTheme="majorEastAsia"/>
                <w:color w:val="000000" w:themeColor="text1"/>
                <w:sz w:val="18"/>
              </w:rPr>
            </w:pP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7.0</w:t>
            </w: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0.1</w:t>
            </w: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4.5</w:t>
            </w:r>
          </w:p>
          <w:p>
            <w:pPr>
              <w:pStyle w:val="0"/>
              <w:jc w:val="right"/>
              <w:rPr>
                <w:rFonts w:hint="default" w:asciiTheme="majorEastAsia" w:hAnsiTheme="majorEastAsia" w:eastAsiaTheme="majorEastAsia"/>
                <w:color w:val="000000" w:themeColor="text1"/>
                <w:sz w:val="18"/>
              </w:rPr>
            </w:pP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7.0</w:t>
            </w: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0.1</w:t>
            </w:r>
          </w:p>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4.5</w:t>
            </w:r>
          </w:p>
          <w:p>
            <w:pPr>
              <w:pStyle w:val="0"/>
              <w:jc w:val="right"/>
              <w:rPr>
                <w:rFonts w:hint="default" w:asciiTheme="majorEastAsia" w:hAnsiTheme="majorEastAsia" w:eastAsiaTheme="majorEastAsia"/>
                <w:color w:val="000000" w:themeColor="text1"/>
                <w:sz w:val="18"/>
              </w:rPr>
            </w:pPr>
          </w:p>
        </w:tc>
      </w:tr>
      <w:tr>
        <w:trPr>
          <w:trHeight w:val="222" w:hRule="atLeast"/>
        </w:trPr>
        <w:tc>
          <w:tcPr>
            <w:tcW w:w="2531" w:type="dxa"/>
            <w:tcBorders>
              <w:top w:val="none" w:color="auto" w:sz="0" w:space="0"/>
              <w:left w:val="none" w:color="auto" w:sz="0" w:space="0"/>
              <w:bottom w:val="none" w:color="auto" w:sz="0" w:space="0"/>
              <w:right w:val="none" w:color="auto" w:sz="0" w:space="0"/>
              <w:tl2br w:val="nil"/>
              <w:tr2bl w:val="nil"/>
            </w:tcBorders>
            <w:vAlign w:val="top"/>
          </w:tcPr>
          <w:p>
            <w:pPr>
              <w:pStyle w:val="0"/>
              <w:ind w:left="90" w:hanging="90" w:hangingChars="50"/>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畑地化</w:t>
            </w:r>
          </w:p>
        </w:tc>
        <w:tc>
          <w:tcPr>
            <w:tcW w:w="2125"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tc>
        <w:tc>
          <w:tcPr>
            <w:tcW w:w="2551"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bookmarkStart w:id="0" w:name="_GoBack"/>
            <w:bookmarkEnd w:id="0"/>
            <w:r>
              <w:rPr>
                <w:rFonts w:hint="eastAsia" w:asciiTheme="majorEastAsia" w:hAnsiTheme="majorEastAsia" w:eastAsiaTheme="majorEastAsia"/>
                <w:color w:val="000000" w:themeColor="text1"/>
                <w:sz w:val="18"/>
              </w:rPr>
              <w:t>0</w:t>
            </w:r>
          </w:p>
        </w:tc>
        <w:tc>
          <w:tcPr>
            <w:tcW w:w="2408" w:type="dxa"/>
            <w:tcBorders>
              <w:top w:val="none" w:color="auto" w:sz="0" w:space="0"/>
              <w:left w:val="none" w:color="auto" w:sz="0" w:space="0"/>
              <w:bottom w:val="none" w:color="auto" w:sz="0" w:space="0"/>
              <w:right w:val="none" w:color="auto" w:sz="0" w:space="0"/>
              <w:tl2br w:val="nil"/>
              <w:tr2bl w:val="nil"/>
            </w:tcBorders>
            <w:vAlign w:val="top"/>
          </w:tcPr>
          <w:p>
            <w:pPr>
              <w:pStyle w:val="0"/>
              <w:jc w:val="right"/>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0</w:t>
            </w:r>
          </w:p>
        </w:tc>
      </w:tr>
    </w:tbl>
    <w:p>
      <w:pPr>
        <w:pStyle w:val="0"/>
        <w:jc w:val="left"/>
        <w:rPr>
          <w:rFonts w:hint="default" w:asciiTheme="majorEastAsia" w:hAnsiTheme="majorEastAsia" w:eastAsiaTheme="majorEastAsia"/>
          <w:color w:val="000000" w:themeColor="text1"/>
          <w:sz w:val="24"/>
        </w:rPr>
      </w:pPr>
    </w:p>
    <w:p>
      <w:pPr>
        <w:pStyle w:val="0"/>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color w:val="000000" w:themeColor="text1"/>
          <w:sz w:val="28"/>
          <w:bdr w:val="single" w:color="000000" w:sz="4" w:space="0"/>
        </w:rPr>
        <w:t>６　課題解決に向けた取組及び目標</w:t>
      </w:r>
    </w:p>
    <w:tbl>
      <w:tblPr>
        <w:tblStyle w:val="11"/>
        <w:tblW w:w="9660" w:type="dxa"/>
        <w:tblInd w:w="99"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99" w:type="dxa"/>
          <w:right w:w="99" w:type="dxa"/>
        </w:tblCellMar>
        <w:tblLook w:firstRow="1" w:lastRow="0" w:firstColumn="1" w:lastColumn="0" w:noHBand="0" w:noVBand="1" w:val="04A0"/>
      </w:tblPr>
      <w:tblGrid>
        <w:gridCol w:w="567"/>
        <w:gridCol w:w="1701"/>
        <w:gridCol w:w="1843"/>
        <w:gridCol w:w="1701"/>
        <w:gridCol w:w="1843"/>
        <w:gridCol w:w="2005"/>
      </w:tblGrid>
      <w:tr>
        <w:trPr>
          <w:trHeight w:val="64" w:hRule="atLeast"/>
        </w:trPr>
        <w:tc>
          <w:tcPr>
            <w:tcW w:w="567" w:type="dxa"/>
            <w:vMerge w:val="restart"/>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整理番号</w:t>
            </w:r>
          </w:p>
        </w:tc>
        <w:tc>
          <w:tcPr>
            <w:tcW w:w="1701" w:type="dxa"/>
            <w:vMerge w:val="restart"/>
            <w:tcBorders>
              <w:top w:val="single" w:color="auto" w:sz="4" w:space="0"/>
              <w:left w:val="single" w:color="auto" w:sz="4" w:space="0"/>
              <w:bottom w:val="single" w:color="auto" w:sz="4"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対象作物</w:t>
            </w:r>
          </w:p>
        </w:tc>
        <w:tc>
          <w:tcPr>
            <w:tcW w:w="1843" w:type="dxa"/>
            <w:vMerge w:val="restart"/>
            <w:tcBorders>
              <w:top w:val="single" w:color="auto" w:sz="4" w:space="0"/>
              <w:left w:val="single" w:color="auto" w:sz="6" w:space="0"/>
              <w:bottom w:val="single" w:color="auto" w:sz="4"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使途名</w:t>
            </w:r>
          </w:p>
        </w:tc>
        <w:tc>
          <w:tcPr>
            <w:tcW w:w="1701" w:type="dxa"/>
            <w:vMerge w:val="restart"/>
            <w:tcBorders>
              <w:top w:val="single" w:color="auto" w:sz="4" w:space="0"/>
              <w:left w:val="single" w:color="auto" w:sz="6" w:space="0"/>
              <w:bottom w:val="single" w:color="auto" w:sz="4" w:space="0"/>
              <w:right w:val="nil"/>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2"/>
              </w:rPr>
            </w:pPr>
            <w:r>
              <w:rPr>
                <w:rFonts w:hint="eastAsia" w:asciiTheme="majorEastAsia" w:hAnsiTheme="majorEastAsia" w:eastAsiaTheme="majorEastAsia"/>
                <w:color w:val="000000" w:themeColor="text1"/>
                <w:sz w:val="18"/>
              </w:rPr>
              <w:t>目標</w:t>
            </w:r>
          </w:p>
        </w:tc>
        <w:tc>
          <w:tcPr>
            <w:tcW w:w="3848" w:type="dxa"/>
            <w:gridSpan w:val="2"/>
            <w:tcBorders>
              <w:top w:val="single" w:color="auto" w:sz="6" w:space="0"/>
              <w:left w:val="nil"/>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2"/>
              </w:rPr>
            </w:pPr>
          </w:p>
        </w:tc>
      </w:tr>
      <w:tr>
        <w:trPr>
          <w:trHeight w:val="185" w:hRule="atLeast"/>
        </w:trPr>
        <w:tc>
          <w:tcPr>
            <w:tcW w:w="567" w:type="dxa"/>
            <w:vMerge w:val="continue"/>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jc w:val="left"/>
              <w:rPr>
                <w:rFonts w:hint="default" w:asciiTheme="majorEastAsia" w:hAnsiTheme="majorEastAsia" w:eastAsiaTheme="majorEastAsia"/>
                <w:color w:val="000000" w:themeColor="text1"/>
                <w:sz w:val="18"/>
              </w:rPr>
            </w:pPr>
          </w:p>
        </w:tc>
        <w:tc>
          <w:tcPr>
            <w:tcW w:w="1701" w:type="dxa"/>
            <w:vMerge w:val="continue"/>
            <w:tcBorders>
              <w:top w:val="single" w:color="auto" w:sz="4" w:space="0"/>
              <w:left w:val="single" w:color="auto" w:sz="4" w:space="0"/>
              <w:bottom w:val="single" w:color="auto" w:sz="4" w:space="0"/>
              <w:right w:val="single" w:color="auto" w:sz="6" w:space="0"/>
              <w:tl2br w:val="none" w:color="auto" w:sz="0" w:space="0"/>
              <w:tr2bl w:val="none" w:color="auto" w:sz="0" w:space="0"/>
            </w:tcBorders>
            <w:vAlign w:val="center"/>
          </w:tcPr>
          <w:p>
            <w:pPr>
              <w:pStyle w:val="0"/>
              <w:widowControl w:val="1"/>
              <w:jc w:val="left"/>
              <w:rPr>
                <w:rFonts w:hint="default" w:asciiTheme="majorEastAsia" w:hAnsiTheme="majorEastAsia" w:eastAsiaTheme="majorEastAsia"/>
                <w:color w:val="000000" w:themeColor="text1"/>
                <w:sz w:val="18"/>
              </w:rPr>
            </w:pPr>
          </w:p>
        </w:tc>
        <w:tc>
          <w:tcPr>
            <w:tcW w:w="1843" w:type="dxa"/>
            <w:vMerge w:val="continue"/>
            <w:tcBorders>
              <w:top w:val="single" w:color="auto" w:sz="4" w:space="0"/>
              <w:left w:val="single" w:color="auto" w:sz="6" w:space="0"/>
              <w:bottom w:val="single" w:color="auto" w:sz="4" w:space="0"/>
              <w:right w:val="single" w:color="auto" w:sz="6" w:space="0"/>
              <w:tl2br w:val="none" w:color="auto" w:sz="0" w:space="0"/>
              <w:tr2bl w:val="none" w:color="auto" w:sz="0" w:space="0"/>
            </w:tcBorders>
            <w:vAlign w:val="center"/>
          </w:tcPr>
          <w:p>
            <w:pPr>
              <w:pStyle w:val="0"/>
              <w:widowControl w:val="1"/>
              <w:jc w:val="left"/>
              <w:rPr>
                <w:rFonts w:hint="default" w:asciiTheme="majorEastAsia" w:hAnsiTheme="majorEastAsia" w:eastAsiaTheme="majorEastAsia"/>
                <w:color w:val="000000" w:themeColor="text1"/>
                <w:sz w:val="18"/>
              </w:rPr>
            </w:pPr>
          </w:p>
        </w:tc>
        <w:tc>
          <w:tcPr>
            <w:tcW w:w="1701" w:type="dxa"/>
            <w:vMerge w:val="continue"/>
            <w:tcBorders>
              <w:top w:val="single" w:color="auto" w:sz="4" w:space="0"/>
              <w:left w:val="single" w:color="auto" w:sz="6" w:space="0"/>
              <w:bottom w:val="single" w:color="auto" w:sz="4" w:space="0"/>
              <w:right w:val="nil"/>
              <w:tl2br w:val="none" w:color="auto" w:sz="0" w:space="0"/>
              <w:tr2bl w:val="none" w:color="auto" w:sz="0" w:space="0"/>
            </w:tcBorders>
            <w:vAlign w:val="center"/>
          </w:tcPr>
          <w:p>
            <w:pPr>
              <w:pStyle w:val="0"/>
              <w:widowControl w:val="1"/>
              <w:jc w:val="left"/>
              <w:rPr>
                <w:rFonts w:hint="default" w:asciiTheme="majorEastAsia" w:hAnsiTheme="majorEastAsia" w:eastAsiaTheme="majorEastAsia"/>
                <w:color w:val="000000" w:themeColor="text1"/>
                <w:sz w:val="12"/>
              </w:rPr>
            </w:pP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前年度（実績）</w:t>
            </w:r>
          </w:p>
        </w:tc>
        <w:tc>
          <w:tcPr>
            <w:tcW w:w="2005"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目標値</w:t>
            </w:r>
          </w:p>
        </w:tc>
      </w:tr>
      <w:tr>
        <w:trPr>
          <w:trHeight w:val="640" w:hRule="atLeast"/>
        </w:trPr>
        <w:tc>
          <w:tcPr>
            <w:tcW w:w="567" w:type="dxa"/>
            <w:tcBorders>
              <w:top w:val="single" w:color="auto" w:sz="4" w:space="0"/>
              <w:left w:val="single"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１</w:t>
            </w:r>
          </w:p>
        </w:tc>
        <w:tc>
          <w:tcPr>
            <w:tcW w:w="1701" w:type="dxa"/>
            <w:tcBorders>
              <w:top w:val="single" w:color="auto" w:sz="4" w:space="0"/>
              <w:left w:val="single" w:color="auto" w:sz="4"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オクラ・シシトウ・イモ類</w:t>
            </w:r>
          </w:p>
        </w:tc>
        <w:tc>
          <w:tcPr>
            <w:tcW w:w="1843" w:type="dxa"/>
            <w:tcBorders>
              <w:top w:val="single" w:color="auto" w:sz="4"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地域振興作物（オクラ・シシトウ・イモ類）に対する助成</w:t>
            </w:r>
          </w:p>
        </w:tc>
        <w:tc>
          <w:tcPr>
            <w:tcW w:w="1701" w:type="dxa"/>
            <w:tcBorders>
              <w:top w:val="single" w:color="auto" w:sz="4"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作付面積拡大</w:t>
            </w: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3</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439a</w:t>
            </w:r>
          </w:p>
        </w:tc>
        <w:tc>
          <w:tcPr>
            <w:tcW w:w="2005"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4</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450a</w:t>
            </w:r>
          </w:p>
        </w:tc>
      </w:tr>
      <w:tr>
        <w:trPr>
          <w:trHeight w:val="640" w:hRule="atLeast"/>
        </w:trPr>
        <w:tc>
          <w:tcPr>
            <w:tcW w:w="567" w:type="dxa"/>
            <w:tcBorders>
              <w:top w:val="single" w:color="auto" w:sz="6" w:space="0"/>
              <w:left w:val="single"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２</w:t>
            </w:r>
          </w:p>
        </w:tc>
        <w:tc>
          <w:tcPr>
            <w:tcW w:w="1701" w:type="dxa"/>
            <w:tcBorders>
              <w:top w:val="single" w:color="auto" w:sz="6" w:space="0"/>
              <w:left w:val="single" w:color="auto" w:sz="4"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ナス・ピーマン・スイカ・トマト・ミョウガ・ネギ・ニラ・イチゴ</w:t>
            </w: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地域振興作物（ナス・ピーマン・スイカ・トマト・ミョウガ・ネギ・ニラ・イチゴ）に対する助成</w:t>
            </w:r>
          </w:p>
        </w:tc>
        <w:tc>
          <w:tcPr>
            <w:tcW w:w="1701"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作付面積拡大</w:t>
            </w: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3</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672a</w:t>
            </w:r>
          </w:p>
        </w:tc>
        <w:tc>
          <w:tcPr>
            <w:tcW w:w="2005"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4</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700a</w:t>
            </w:r>
          </w:p>
        </w:tc>
      </w:tr>
      <w:tr>
        <w:trPr>
          <w:trHeight w:val="640" w:hRule="atLeast"/>
        </w:trPr>
        <w:tc>
          <w:tcPr>
            <w:tcW w:w="567" w:type="dxa"/>
            <w:tcBorders>
              <w:top w:val="single" w:color="auto" w:sz="6" w:space="0"/>
              <w:left w:val="single" w:color="auto" w:sz="4" w:space="0"/>
              <w:bottom w:val="single" w:color="auto" w:sz="6"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３</w:t>
            </w:r>
          </w:p>
        </w:tc>
        <w:tc>
          <w:tcPr>
            <w:tcW w:w="1701" w:type="dxa"/>
            <w:tcBorders>
              <w:top w:val="single" w:color="auto" w:sz="6" w:space="0"/>
              <w:left w:val="single" w:color="auto" w:sz="4"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イチジク</w:t>
            </w: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地域振興作物（イチジク）に対する助成</w:t>
            </w:r>
          </w:p>
        </w:tc>
        <w:tc>
          <w:tcPr>
            <w:tcW w:w="1701"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作付面積拡大</w:t>
            </w:r>
          </w:p>
        </w:tc>
        <w:tc>
          <w:tcPr>
            <w:tcW w:w="1843"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3</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0a</w:t>
            </w:r>
          </w:p>
        </w:tc>
        <w:tc>
          <w:tcPr>
            <w:tcW w:w="2005" w:type="dxa"/>
            <w:tcBorders>
              <w:top w:val="single" w:color="auto" w:sz="6" w:space="0"/>
              <w:left w:val="single" w:color="auto" w:sz="6" w:space="0"/>
              <w:bottom w:val="single" w:color="auto" w:sz="6"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4</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20a</w:t>
            </w:r>
          </w:p>
        </w:tc>
      </w:tr>
      <w:tr>
        <w:trPr>
          <w:trHeight w:val="640" w:hRule="atLeast"/>
        </w:trPr>
        <w:tc>
          <w:tcPr>
            <w:tcW w:w="567" w:type="dxa"/>
            <w:tcBorders>
              <w:top w:val="single" w:color="auto" w:sz="6"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４</w:t>
            </w:r>
          </w:p>
        </w:tc>
        <w:tc>
          <w:tcPr>
            <w:tcW w:w="1701" w:type="dxa"/>
            <w:tcBorders>
              <w:top w:val="single" w:color="auto" w:sz="6" w:space="0"/>
              <w:left w:val="single" w:color="auto" w:sz="4" w:space="0"/>
              <w:bottom w:val="single" w:color="auto" w:sz="4"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飼料作物</w:t>
            </w:r>
          </w:p>
        </w:tc>
        <w:tc>
          <w:tcPr>
            <w:tcW w:w="1843" w:type="dxa"/>
            <w:tcBorders>
              <w:top w:val="single" w:color="auto" w:sz="6" w:space="0"/>
              <w:left w:val="single" w:color="auto" w:sz="6" w:space="0"/>
              <w:bottom w:val="single" w:color="auto" w:sz="4"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二毛作助成</w:t>
            </w:r>
          </w:p>
        </w:tc>
        <w:tc>
          <w:tcPr>
            <w:tcW w:w="1701" w:type="dxa"/>
            <w:tcBorders>
              <w:top w:val="single" w:color="auto" w:sz="6" w:space="0"/>
              <w:left w:val="single" w:color="auto" w:sz="6" w:space="0"/>
              <w:bottom w:val="single" w:color="auto" w:sz="4" w:space="0"/>
              <w:right w:val="single" w:color="auto" w:sz="6" w:space="0"/>
              <w:tl2br w:val="none" w:color="auto" w:sz="0" w:space="0"/>
              <w:tr2bl w:val="none" w:color="auto" w:sz="0" w:space="0"/>
            </w:tcBorders>
            <w:vAlign w:val="center"/>
          </w:tcPr>
          <w:p>
            <w:pPr>
              <w:pStyle w:val="0"/>
              <w:jc w:val="center"/>
              <w:rPr>
                <w:rFonts w:hint="default" w:asciiTheme="majorEastAsia" w:hAnsiTheme="majorEastAsia" w:eastAsiaTheme="majorEastAsia"/>
                <w:color w:val="000000" w:themeColor="text1"/>
                <w:sz w:val="18"/>
              </w:rPr>
            </w:pPr>
            <w:r>
              <w:rPr>
                <w:rFonts w:hint="eastAsia" w:asciiTheme="majorEastAsia" w:hAnsiTheme="majorEastAsia" w:eastAsiaTheme="majorEastAsia"/>
                <w:color w:val="000000" w:themeColor="text1"/>
                <w:sz w:val="18"/>
              </w:rPr>
              <w:t>作付面積拡大</w:t>
            </w:r>
          </w:p>
        </w:tc>
        <w:tc>
          <w:tcPr>
            <w:tcW w:w="1843" w:type="dxa"/>
            <w:tcBorders>
              <w:top w:val="single" w:color="auto" w:sz="6" w:space="0"/>
              <w:left w:val="single" w:color="auto" w:sz="6" w:space="0"/>
              <w:bottom w:val="single" w:color="auto" w:sz="4"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3</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255a</w:t>
            </w:r>
          </w:p>
        </w:tc>
        <w:tc>
          <w:tcPr>
            <w:tcW w:w="2005" w:type="dxa"/>
            <w:tcBorders>
              <w:top w:val="single" w:color="auto" w:sz="6" w:space="0"/>
              <w:left w:val="single" w:color="auto" w:sz="6" w:space="0"/>
              <w:bottom w:val="single" w:color="auto" w:sz="4" w:space="0"/>
              <w:right w:val="single" w:color="auto" w:sz="6" w:space="0"/>
              <w:tl2br w:val="none" w:color="auto" w:sz="0" w:space="0"/>
              <w:tr2bl w:val="none" w:color="auto" w:sz="0" w:space="0"/>
            </w:tcBorders>
            <w:vAlign w:val="center"/>
          </w:tcPr>
          <w:p>
            <w:pPr>
              <w:pStyle w:val="0"/>
              <w:jc w:val="left"/>
              <w:rPr>
                <w:rFonts w:hint="default" w:asciiTheme="majorEastAsia" w:hAnsiTheme="majorEastAsia" w:eastAsiaTheme="majorEastAsia"/>
                <w:color w:val="000000" w:themeColor="text1"/>
                <w:sz w:val="16"/>
              </w:rPr>
            </w:pPr>
            <w:r>
              <w:rPr>
                <w:rFonts w:hint="eastAsia" w:asciiTheme="majorEastAsia" w:hAnsiTheme="majorEastAsia" w:eastAsiaTheme="majorEastAsia"/>
                <w:color w:val="000000" w:themeColor="text1"/>
                <w:sz w:val="16"/>
              </w:rPr>
              <w:t>（令和</w:t>
            </w:r>
            <w:r>
              <w:rPr>
                <w:rFonts w:hint="eastAsia" w:asciiTheme="majorEastAsia" w:hAnsiTheme="majorEastAsia" w:eastAsiaTheme="majorEastAsia"/>
                <w:color w:val="000000" w:themeColor="text1"/>
                <w:sz w:val="16"/>
              </w:rPr>
              <w:t>4</w:t>
            </w:r>
            <w:r>
              <w:rPr>
                <w:rFonts w:hint="eastAsia" w:asciiTheme="majorEastAsia" w:hAnsiTheme="majorEastAsia" w:eastAsiaTheme="majorEastAsia"/>
                <w:color w:val="000000" w:themeColor="text1"/>
                <w:sz w:val="16"/>
              </w:rPr>
              <w:t>年度）</w:t>
            </w:r>
            <w:r>
              <w:rPr>
                <w:rFonts w:hint="eastAsia" w:asciiTheme="majorEastAsia" w:hAnsiTheme="majorEastAsia" w:eastAsiaTheme="majorEastAsia"/>
                <w:color w:val="000000" w:themeColor="text1"/>
                <w:sz w:val="16"/>
              </w:rPr>
              <w:t>270a</w:t>
            </w:r>
          </w:p>
        </w:tc>
      </w:tr>
    </w:tbl>
    <w:p>
      <w:pPr>
        <w:pStyle w:val="0"/>
        <w:ind w:left="200" w:hanging="200" w:hangingChars="100"/>
        <w:jc w:val="left"/>
        <w:rPr>
          <w:rFonts w:hint="default" w:asciiTheme="majorEastAsia" w:hAnsiTheme="majorEastAsia" w:eastAsiaTheme="majorEastAsia"/>
          <w:color w:val="000000" w:themeColor="text1"/>
          <w:sz w:val="20"/>
        </w:rPr>
      </w:pPr>
      <w:r>
        <w:rPr>
          <w:rFonts w:hint="eastAsia" w:asciiTheme="majorEastAsia" w:hAnsiTheme="majorEastAsia" w:eastAsiaTheme="majorEastAsia"/>
          <w:color w:val="000000" w:themeColor="text1"/>
          <w:sz w:val="20"/>
        </w:rPr>
        <w:t>※　必要に応じて、面積に加え、取組によって得られるコスト低減効果等についても目標設定してください。</w:t>
      </w:r>
    </w:p>
    <w:p>
      <w:pPr>
        <w:pStyle w:val="0"/>
        <w:jc w:val="left"/>
        <w:rPr>
          <w:rFonts w:hint="default" w:asciiTheme="majorEastAsia" w:hAnsiTheme="majorEastAsia" w:eastAsiaTheme="majorEastAsia"/>
          <w:color w:val="000000" w:themeColor="text1"/>
          <w:sz w:val="20"/>
        </w:rPr>
      </w:pPr>
      <w:r>
        <w:rPr>
          <w:rFonts w:hint="eastAsia" w:asciiTheme="majorEastAsia" w:hAnsiTheme="majorEastAsia" w:eastAsiaTheme="majorEastAsia"/>
          <w:color w:val="000000" w:themeColor="text1"/>
          <w:sz w:val="20"/>
        </w:rPr>
        <w:t>※　目標期間は３年以内としてください。</w:t>
      </w:r>
    </w:p>
    <w:p>
      <w:pPr>
        <w:pStyle w:val="0"/>
        <w:jc w:val="left"/>
        <w:rPr>
          <w:rFonts w:hint="default" w:asciiTheme="majorEastAsia" w:hAnsiTheme="majorEastAsia" w:eastAsiaTheme="majorEastAsia"/>
          <w:b w:val="1"/>
          <w:color w:val="000000" w:themeColor="text1"/>
          <w:sz w:val="24"/>
          <w:bdr w:val="single" w:color="000000" w:sz="4" w:space="0"/>
        </w:rPr>
      </w:pPr>
    </w:p>
    <w:p>
      <w:pPr>
        <w:pStyle w:val="0"/>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color w:val="000000" w:themeColor="text1"/>
          <w:sz w:val="28"/>
          <w:bdr w:val="single" w:color="000000" w:sz="4" w:space="0"/>
        </w:rPr>
        <w:t>７　産地交付金の活用方法の概要</w:t>
      </w: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別紙のとおり</w:t>
      </w:r>
    </w:p>
    <w:p>
      <w:pPr>
        <w:pStyle w:val="0"/>
        <w:jc w:val="left"/>
        <w:rPr>
          <w:rFonts w:hint="default" w:asciiTheme="majorEastAsia" w:hAnsiTheme="majorEastAsia" w:eastAsiaTheme="majorEastAsia"/>
          <w:color w:val="000000" w:themeColor="text1"/>
          <w:sz w:val="24"/>
        </w:rPr>
      </w:pPr>
    </w:p>
    <w:p>
      <w:pPr>
        <w:pStyle w:val="0"/>
        <w:snapToGrid w:val="0"/>
        <w:ind w:left="426" w:hanging="426" w:hangingChars="213"/>
        <w:jc w:val="left"/>
        <w:rPr>
          <w:rFonts w:hint="default" w:asciiTheme="majorEastAsia" w:hAnsiTheme="majorEastAsia" w:eastAsiaTheme="majorEastAsia"/>
          <w:b w:val="1"/>
          <w:color w:val="000000" w:themeColor="text1"/>
          <w:sz w:val="28"/>
          <w:bdr w:val="single" w:color="000000" w:sz="4" w:space="0"/>
        </w:rPr>
      </w:pPr>
      <w:r>
        <w:rPr>
          <w:rFonts w:hint="eastAsia" w:asciiTheme="majorEastAsia" w:hAnsiTheme="majorEastAsia" w:eastAsiaTheme="majorEastAsia"/>
          <w:b w:val="1"/>
          <w:color w:val="000000" w:themeColor="text1"/>
          <w:sz w:val="28"/>
          <w:bdr w:val="single" w:color="000000" w:sz="4" w:space="0"/>
        </w:rPr>
        <w:t>８　産地交付金の活用方法の明細</w:t>
      </w:r>
    </w:p>
    <w:p>
      <w:pPr>
        <w:pStyle w:val="0"/>
        <w:jc w:val="left"/>
        <w:rPr>
          <w:rFonts w:hint="default"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　　別紙のとおり</w:t>
      </w:r>
    </w:p>
    <w:sectPr>
      <w:footerReference r:id="rId5" w:type="first"/>
      <w:pgSz w:w="11906" w:h="16838"/>
      <w:pgMar w:top="851" w:right="1134" w:bottom="794" w:left="1134" w:header="0" w:footer="0" w:gutter="0"/>
      <w:pgNumType w:fmt="decimalFullWidth" w:start="4"/>
      <w:cols w:space="720"/>
      <w:textDirection w:val="lrTb"/>
      <w:docGrid w:type="linesAndChars" w:linePitch="31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sdt>
    <w:sdtPr>
      <w:rPr>
        <w:rFonts w:hint="default"/>
      </w:rPr>
      <w:id w:val="-1216115814"/>
      <w:docPartObj>
        <w:docPartGallery w:val="Page Numbers (Bottom of Page)"/>
        <w:docPartUnique/>
      </w:docPartObj>
    </w:sdtPr>
    <w:sdtEndPr>
      <w:rPr>
        <w:rFonts w:hint="default"/>
      </w:rPr>
    </w:sdtEndPr>
    <w:sdtContent>
      <w:p>
        <w:pPr>
          <w:pStyle w:val="17"/>
          <w:jc w:val="center"/>
          <w:rPr>
            <w:rFonts w:hint="default"/>
          </w:rPr>
        </w:pPr>
        <w:r>
          <w:rPr>
            <w:rFonts w:hint="eastAsia"/>
          </w:rPr>
          <w:fldChar w:fldCharType="begin"/>
        </w:r>
        <w:r>
          <w:rPr>
            <w:rFonts w:hint="eastAsia"/>
          </w:rPr>
          <w:instrText xml:space="preserve">PAGE  \* MERGEFORMAT </w:instrText>
        </w:r>
        <w:r>
          <w:rPr>
            <w:rFonts w:hint="eastAsia"/>
          </w:rPr>
          <w:fldChar w:fldCharType="separate"/>
        </w:r>
        <w:r>
          <w:rPr>
            <w:rFonts w:hint="default" w:asciiTheme="majorEastAsia" w:hAnsiTheme="majorEastAsia" w:eastAsiaTheme="majorEastAsia"/>
            <w:sz w:val="36"/>
          </w:rPr>
          <w:t>1</w:t>
        </w:r>
        <w:r>
          <w:rPr>
            <w:rFonts w:hint="eastAsia"/>
          </w:rPr>
          <w:fldChar w:fldCharType="end"/>
        </w:r>
      </w:p>
    </w:sdtContent>
  </w:sdt>
  <w:p>
    <w:pPr>
      <w:pStyle w:val="17"/>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158"/>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rPr>
      <w:rFonts w:ascii="ＭＳ ゴシック" w:hAnsi="ＭＳ ゴシック" w:eastAsia="ＭＳ ゴシック"/>
      <w:sz w:val="24"/>
    </w:rPr>
  </w:style>
  <w:style w:type="character" w:styleId="16" w:customStyle="1">
    <w:name w:val="ヘッダー (文字)"/>
    <w:basedOn w:val="10"/>
    <w:next w:val="16"/>
    <w:link w:val="15"/>
    <w:uiPriority w:val="0"/>
    <w:rPr>
      <w:rFonts w:ascii="ＭＳ ゴシック" w:hAnsi="ＭＳ ゴシック" w:eastAsia="ＭＳ ゴシック"/>
      <w:sz w:val="24"/>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paragraph" w:styleId="21" w:customStyle="1">
    <w:name w:val="標準(太郎文書スタイル)"/>
    <w:next w:val="21"/>
    <w:link w:val="0"/>
    <w:uiPriority w:val="0"/>
    <w:pPr>
      <w:widowControl w:val="0"/>
      <w:overflowPunct w:val="0"/>
      <w:adjustRightInd w:val="0"/>
      <w:jc w:val="both"/>
      <w:textAlignment w:val="baseline"/>
    </w:pPr>
    <w:rPr>
      <w:rFonts w:ascii="Times New Roman" w:hAnsi="Times New Roman" w:eastAsia="ＭＳ 明朝"/>
      <w:color w:val="000000"/>
      <w:kern w:val="0"/>
      <w:sz w:val="24"/>
    </w:rPr>
  </w:style>
  <w:style w:type="character" w:styleId="22">
    <w:name w:val="annotation reference"/>
    <w:basedOn w:val="10"/>
    <w:next w:val="22"/>
    <w:link w:val="0"/>
    <w:uiPriority w:val="0"/>
    <w:semiHidden/>
    <w:rPr>
      <w:sz w:val="18"/>
    </w:rPr>
  </w:style>
  <w:style w:type="paragraph" w:styleId="23">
    <w:name w:val="annotation text"/>
    <w:basedOn w:val="0"/>
    <w:next w:val="23"/>
    <w:link w:val="24"/>
    <w:uiPriority w:val="0"/>
    <w:semiHidden/>
    <w:pPr>
      <w:jc w:val="left"/>
    </w:pPr>
  </w:style>
  <w:style w:type="character" w:styleId="24" w:customStyle="1">
    <w:name w:val="コメント文字列 (文字)"/>
    <w:basedOn w:val="10"/>
    <w:next w:val="24"/>
    <w:link w:val="23"/>
    <w:uiPriority w:val="0"/>
  </w:style>
  <w:style w:type="paragraph" w:styleId="25">
    <w:name w:val="annotation subject"/>
    <w:basedOn w:val="23"/>
    <w:next w:val="23"/>
    <w:link w:val="26"/>
    <w:uiPriority w:val="0"/>
    <w:semiHidden/>
    <w:rPr>
      <w:b w:val="1"/>
    </w:rPr>
  </w:style>
  <w:style w:type="character" w:styleId="26" w:customStyle="1">
    <w:name w:val="コメント内容 (文字)"/>
    <w:basedOn w:val="24"/>
    <w:next w:val="26"/>
    <w:link w:val="25"/>
    <w:uiPriority w:val="0"/>
    <w:rPr>
      <w:b w:val="1"/>
    </w:rPr>
  </w:style>
  <w:style w:type="paragraph" w:styleId="27">
    <w:name w:val="List Paragraph"/>
    <w:basedOn w:val="0"/>
    <w:next w:val="27"/>
    <w:link w:val="0"/>
    <w:uiPriority w:val="0"/>
    <w:qFormat/>
    <w:pPr>
      <w:ind w:left="840" w:leftChars="400"/>
    </w:p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name w:val="Table Grid"/>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3853</TotalTime>
  <Pages>3</Pages>
  <Words>76</Words>
  <Characters>2646</Characters>
  <Application>JUST Note</Application>
  <Lines>594</Lines>
  <Paragraphs>116</Paragraphs>
  <Company>農林水産省</Company>
  <CharactersWithSpaces>2680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農林水産省</dc:creator>
  <cp:lastModifiedBy>508957</cp:lastModifiedBy>
  <cp:lastPrinted>2022-05-24T00:46:57Z</cp:lastPrinted>
  <dcterms:created xsi:type="dcterms:W3CDTF">2016-03-22T09:24:00Z</dcterms:created>
  <dcterms:modified xsi:type="dcterms:W3CDTF">2022-05-24T00:43:21Z</dcterms:modified>
  <cp:revision>114</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0x01010090BCAD449F5DD848BF4614268CB636F8</vt:lpwstr>
  </property>
</Properties>
</file>